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eastAsia" w:ascii="方正小标宋_GBK" w:hAnsi="方正小标宋_GBK" w:eastAsia="方正小标宋_GBK"/>
          <w:sz w:val="44"/>
        </w:rPr>
      </w:pPr>
      <w:bookmarkStart w:id="0" w:name="_GoBack"/>
      <w:bookmarkEnd w:id="0"/>
    </w:p>
    <w:p>
      <w:pPr>
        <w:snapToGrid w:val="0"/>
        <w:spacing w:line="540" w:lineRule="exact"/>
        <w:jc w:val="center"/>
        <w:rPr>
          <w:rFonts w:hint="eastAsia" w:ascii="方正小标宋_GBK" w:hAnsi="方正小标宋_GBK" w:eastAsia="方正小标宋_GBK"/>
          <w:sz w:val="44"/>
        </w:rPr>
      </w:pPr>
    </w:p>
    <w:p>
      <w:pPr>
        <w:pStyle w:val="18"/>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重庆市公安局</w:t>
      </w:r>
    </w:p>
    <w:p>
      <w:pPr>
        <w:pStyle w:val="18"/>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关于废止部分规范性文件的决定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渝公规〔2022〕11号</w:t>
      </w:r>
    </w:p>
    <w:p>
      <w:pPr>
        <w:snapToGrid w:val="0"/>
        <w:spacing w:line="560" w:lineRule="exact"/>
        <w:rPr>
          <w:rFonts w:hint="eastAsia" w:ascii="方正仿宋_GBK" w:hAnsi="仿宋"/>
          <w:color w:val="000000"/>
        </w:rPr>
      </w:pPr>
    </w:p>
    <w:p>
      <w:pPr>
        <w:autoSpaceDN w:val="0"/>
        <w:spacing w:line="560" w:lineRule="exact"/>
        <w:jc w:val="left"/>
        <w:rPr>
          <w:rFonts w:hint="eastAsia" w:ascii="方正仿宋_GBK" w:hAnsi="方正仿宋_GBK" w:eastAsia="方正仿宋_GBK"/>
          <w:sz w:val="32"/>
          <w:szCs w:val="32"/>
        </w:rPr>
      </w:pPr>
      <w:r>
        <w:rPr>
          <w:rFonts w:hint="eastAsia" w:ascii="方正仿宋_GBK" w:hAnsi="方正仿宋_GBK" w:eastAsia="方正仿宋_GBK"/>
          <w:sz w:val="32"/>
          <w:szCs w:val="32"/>
        </w:rPr>
        <w:t>各公安分局</w:t>
      </w:r>
      <w:r>
        <w:rPr>
          <w:rFonts w:hint="eastAsia" w:ascii="方正仿宋_GBK" w:hAnsi="方正仿宋_GBK" w:eastAsia="方正仿宋_GBK" w:cs="方正仿宋_GBK"/>
          <w:kern w:val="0"/>
          <w:sz w:val="32"/>
          <w:szCs w:val="32"/>
          <w:shd w:val="clear" w:color="auto" w:fill="FFFFFF"/>
          <w:lang w:val="en-US" w:eastAsia="zh-CN" w:bidi="ar-SA"/>
        </w:rPr>
        <w:t>，各区县（自治县）公安局，各专业公安机关，市公安局各直属单位：</w:t>
      </w:r>
    </w:p>
    <w:p>
      <w:pPr>
        <w:autoSpaceDN w:val="0"/>
        <w:spacing w:line="560" w:lineRule="exact"/>
        <w:ind w:firstLine="640" w:firstLineChars="200"/>
        <w:rPr>
          <w:rFonts w:hint="eastAsia" w:ascii="方正仿宋_GBK" w:hAnsi="宋体" w:eastAsia="方正仿宋_GBK" w:cs="宋体"/>
          <w:color w:val="000000"/>
          <w:kern w:val="0"/>
          <w:sz w:val="32"/>
          <w:szCs w:val="32"/>
        </w:rPr>
      </w:pPr>
      <w:r>
        <w:rPr>
          <w:rFonts w:hint="eastAsia" w:ascii="方正仿宋_GBK" w:hAnsi="方正仿宋_GBK" w:eastAsia="方正仿宋_GBK"/>
          <w:sz w:val="32"/>
          <w:szCs w:val="32"/>
        </w:rPr>
        <w:t>依据《重庆市行政规范性文件管理办法》（重庆市人民政府令第329号）规定，结合有关机构职能职责调整情况，市公安局经对现行规范性文件进行清理，决定将</w:t>
      </w:r>
      <w:r>
        <w:rPr>
          <w:rFonts w:hint="eastAsia" w:ascii="方正仿宋_GBK" w:hAnsi="方正仿宋_GBK" w:eastAsia="方正仿宋_GBK"/>
          <w:snapToGrid w:val="0"/>
          <w:kern w:val="0"/>
          <w:sz w:val="32"/>
          <w:szCs w:val="32"/>
        </w:rPr>
        <w:t>《重庆市公安局关于印发〈重庆市公安机关消防行政处罚裁量基准〉的通知》等8个行政规范性文件</w:t>
      </w:r>
      <w:r>
        <w:rPr>
          <w:rFonts w:hint="eastAsia" w:ascii="方正仿宋_GBK" w:hAnsi="宋体" w:eastAsia="方正仿宋_GBK" w:cs="宋体"/>
          <w:color w:val="000000"/>
          <w:kern w:val="0"/>
          <w:sz w:val="32"/>
          <w:szCs w:val="32"/>
        </w:rPr>
        <w:t>予以废止（详见附件），自本决定公布之日起不再施行。</w:t>
      </w:r>
    </w:p>
    <w:p>
      <w:pPr>
        <w:autoSpaceDN w:val="0"/>
        <w:spacing w:line="560" w:lineRule="exact"/>
        <w:ind w:firstLine="640" w:firstLineChars="200"/>
        <w:jc w:val="left"/>
        <w:rPr>
          <w:rFonts w:hint="eastAsia" w:ascii="方正仿宋_GBK" w:hAnsi="方正仿宋_GBK" w:eastAsia="方正仿宋_GBK"/>
          <w:sz w:val="32"/>
          <w:szCs w:val="32"/>
        </w:rPr>
      </w:pP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附件：废止规范性文件目录</w:t>
      </w:r>
    </w:p>
    <w:p>
      <w:pPr>
        <w:autoSpaceDN w:val="0"/>
        <w:spacing w:line="560" w:lineRule="exact"/>
        <w:jc w:val="left"/>
        <w:rPr>
          <w:rFonts w:hint="eastAsia" w:ascii="方正仿宋_GBK" w:hAnsi="方正仿宋_GBK" w:eastAsia="方正仿宋_GBK"/>
          <w:sz w:val="32"/>
          <w:szCs w:val="32"/>
        </w:rPr>
      </w:pPr>
    </w:p>
    <w:p>
      <w:pPr>
        <w:autoSpaceDN w:val="0"/>
        <w:spacing w:line="560" w:lineRule="exact"/>
        <w:jc w:val="left"/>
        <w:rPr>
          <w:rFonts w:hint="eastAsia" w:ascii="方正仿宋_GBK" w:hAnsi="方正仿宋_GBK" w:eastAsia="方正仿宋_GBK"/>
          <w:sz w:val="32"/>
          <w:szCs w:val="32"/>
        </w:rPr>
      </w:pPr>
    </w:p>
    <w:p>
      <w:pPr>
        <w:autoSpaceDN w:val="0"/>
        <w:spacing w:line="560" w:lineRule="exact"/>
        <w:ind w:firstLine="5440" w:firstLineChars="1700"/>
        <w:jc w:val="left"/>
        <w:rPr>
          <w:rFonts w:hint="eastAsia" w:ascii="方正仿宋_GBK" w:hAnsi="方正仿宋_GBK" w:eastAsia="方正仿宋_GBK"/>
          <w:sz w:val="32"/>
          <w:szCs w:val="32"/>
        </w:rPr>
      </w:pPr>
      <w:r>
        <w:rPr>
          <w:rFonts w:hint="eastAsia" w:ascii="方正仿宋_GBK" w:hAnsi="方正仿宋_GBK" w:eastAsia="方正仿宋_GBK"/>
          <w:sz w:val="32"/>
          <w:szCs w:val="32"/>
        </w:rPr>
        <w:t>重庆市公安局</w:t>
      </w:r>
    </w:p>
    <w:p>
      <w:pPr>
        <w:tabs>
          <w:tab w:val="left" w:pos="7655"/>
        </w:tabs>
        <w:spacing w:line="560" w:lineRule="exact"/>
        <w:ind w:firstLine="5120" w:firstLineChars="1600"/>
        <w:rPr>
          <w:rFonts w:hint="eastAsia" w:ascii="方正仿宋_GBK" w:eastAsia="方正仿宋_GBK"/>
          <w:sz w:val="32"/>
          <w:szCs w:val="32"/>
        </w:rPr>
      </w:pPr>
      <w:r>
        <w:rPr>
          <w:rFonts w:hint="eastAsia" w:ascii="方正仿宋_GBK" w:eastAsia="方正仿宋_GBK"/>
          <w:sz w:val="32"/>
          <w:szCs w:val="32"/>
        </w:rPr>
        <w:t>2022年12月14日</w:t>
      </w:r>
    </w:p>
    <w:p>
      <w:pPr>
        <w:spacing w:line="560" w:lineRule="exact"/>
        <w:ind w:firstLine="640" w:firstLineChars="200"/>
        <w:rPr>
          <w:rFonts w:hint="eastAsia" w:ascii="方正仿宋_GBK" w:hAnsi="方正仿宋_GBK"/>
        </w:rPr>
      </w:pPr>
      <w:r>
        <w:rPr>
          <w:rFonts w:hint="eastAsia" w:ascii="方正仿宋_GBK" w:hAnsi="方正仿宋_GBK" w:eastAsia="方正仿宋_GBK" w:cs="方正仿宋_GBK"/>
          <w:kern w:val="0"/>
          <w:sz w:val="32"/>
          <w:szCs w:val="32"/>
          <w:shd w:val="clear" w:color="auto" w:fill="FFFFFF"/>
          <w:lang w:val="en-US" w:eastAsia="zh-CN" w:bidi="ar-SA"/>
        </w:rPr>
        <w:t>（此件公开</w:t>
      </w:r>
      <w:r>
        <w:rPr>
          <w:rFonts w:hint="eastAsia" w:ascii="方正仿宋_GBK" w:hAnsi="Times New Roman" w:eastAsia="方正仿宋_GBK" w:cs="Times New Roman"/>
          <w:sz w:val="32"/>
          <w:szCs w:val="32"/>
          <w:lang w:val="en-US" w:eastAsia="zh-CN"/>
        </w:rPr>
        <w:t>发布</w:t>
      </w:r>
      <w:r>
        <w:rPr>
          <w:rFonts w:hint="eastAsia" w:ascii="方正仿宋_GBK" w:hAnsi="方正仿宋_GBK" w:eastAsia="方正仿宋_GBK" w:cs="方正仿宋_GBK"/>
          <w:kern w:val="0"/>
          <w:sz w:val="32"/>
          <w:szCs w:val="32"/>
          <w:shd w:val="clear" w:color="auto" w:fill="FFFFFF"/>
          <w:lang w:val="en-US" w:eastAsia="zh-CN" w:bidi="ar-SA"/>
        </w:rPr>
        <w:t>）</w:t>
      </w:r>
    </w:p>
    <w:p>
      <w:pPr>
        <w:spacing w:line="560" w:lineRule="exact"/>
        <w:rPr>
          <w:rFonts w:hint="eastAsia" w:ascii="方正黑体_GBK" w:eastAsia="方正黑体_GBK"/>
          <w:sz w:val="32"/>
          <w:szCs w:val="32"/>
        </w:rPr>
      </w:pPr>
      <w:r>
        <w:rPr>
          <w:rFonts w:hint="eastAsia" w:ascii="方正黑体_GBK" w:eastAsia="方正黑体_GBK"/>
          <w:sz w:val="32"/>
          <w:szCs w:val="32"/>
        </w:rPr>
        <w:t>附件</w:t>
      </w:r>
    </w:p>
    <w:p>
      <w:pPr>
        <w:keepNext w:val="0"/>
        <w:keepLines w:val="0"/>
        <w:pageBreakBefore w:val="0"/>
        <w:kinsoku/>
        <w:overflowPunct/>
        <w:topLinePunct w:val="0"/>
        <w:bidi w:val="0"/>
        <w:adjustRightInd/>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废止规范性文件目录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111"/>
        <w:gridCol w:w="2551"/>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59" w:type="dxa"/>
            <w:noWrap w:val="0"/>
            <w:vAlign w:val="center"/>
          </w:tcPr>
          <w:p>
            <w:pPr>
              <w:spacing w:line="360" w:lineRule="exact"/>
              <w:jc w:val="center"/>
              <w:rPr>
                <w:rFonts w:hint="eastAsia" w:ascii="方正黑体_GBK" w:eastAsia="方正黑体_GBK"/>
                <w:sz w:val="30"/>
                <w:szCs w:val="30"/>
              </w:rPr>
            </w:pPr>
            <w:r>
              <w:rPr>
                <w:rFonts w:hint="eastAsia" w:ascii="方正黑体_GBK" w:eastAsia="方正黑体_GBK"/>
                <w:sz w:val="30"/>
                <w:szCs w:val="30"/>
              </w:rPr>
              <w:t>序号</w:t>
            </w:r>
          </w:p>
        </w:tc>
        <w:tc>
          <w:tcPr>
            <w:tcW w:w="4111" w:type="dxa"/>
            <w:noWrap w:val="0"/>
            <w:vAlign w:val="center"/>
          </w:tcPr>
          <w:p>
            <w:pPr>
              <w:spacing w:line="360" w:lineRule="exact"/>
              <w:jc w:val="center"/>
              <w:rPr>
                <w:rFonts w:hint="eastAsia" w:ascii="方正黑体_GBK" w:eastAsia="方正黑体_GBK"/>
                <w:sz w:val="30"/>
                <w:szCs w:val="30"/>
              </w:rPr>
            </w:pPr>
            <w:r>
              <w:rPr>
                <w:rFonts w:hint="eastAsia" w:ascii="方正黑体_GBK" w:eastAsia="方正黑体_GBK"/>
                <w:sz w:val="30"/>
                <w:szCs w:val="30"/>
              </w:rPr>
              <w:t>文件名称</w:t>
            </w:r>
          </w:p>
        </w:tc>
        <w:tc>
          <w:tcPr>
            <w:tcW w:w="2551" w:type="dxa"/>
            <w:noWrap w:val="0"/>
            <w:vAlign w:val="center"/>
          </w:tcPr>
          <w:p>
            <w:pPr>
              <w:spacing w:line="360" w:lineRule="exact"/>
              <w:jc w:val="center"/>
              <w:rPr>
                <w:rFonts w:hint="eastAsia" w:ascii="方正黑体_GBK" w:eastAsia="方正黑体_GBK"/>
                <w:sz w:val="30"/>
                <w:szCs w:val="30"/>
              </w:rPr>
            </w:pPr>
            <w:r>
              <w:rPr>
                <w:rFonts w:hint="eastAsia" w:ascii="方正黑体_GBK" w:eastAsia="方正黑体_GBK"/>
                <w:sz w:val="30"/>
                <w:szCs w:val="30"/>
              </w:rPr>
              <w:t>文号</w:t>
            </w:r>
          </w:p>
        </w:tc>
        <w:tc>
          <w:tcPr>
            <w:tcW w:w="1439" w:type="dxa"/>
            <w:noWrap w:val="0"/>
            <w:vAlign w:val="center"/>
          </w:tcPr>
          <w:p>
            <w:pPr>
              <w:spacing w:line="360" w:lineRule="exact"/>
              <w:jc w:val="center"/>
              <w:rPr>
                <w:rFonts w:hint="eastAsia" w:ascii="方正黑体_GBK" w:eastAsia="方正黑体_GBK"/>
                <w:sz w:val="30"/>
                <w:szCs w:val="30"/>
              </w:rPr>
            </w:pPr>
            <w:r>
              <w:rPr>
                <w:rFonts w:hint="eastAsia" w:ascii="方正黑体_GBK" w:eastAsia="方正黑体_GBK"/>
                <w:sz w:val="30"/>
                <w:szCs w:val="30"/>
              </w:rPr>
              <w:t>失效年份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95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1</w:t>
            </w:r>
          </w:p>
        </w:tc>
        <w:tc>
          <w:tcPr>
            <w:tcW w:w="411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重庆市公安局重庆市质量技术监督局重庆市工商行政管理局关于进一步加强消防产品监督管理的实施意见</w:t>
            </w:r>
          </w:p>
        </w:tc>
        <w:tc>
          <w:tcPr>
            <w:tcW w:w="255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渝公发〔2010〕677号</w:t>
            </w:r>
          </w:p>
          <w:p>
            <w:pPr>
              <w:spacing w:line="360" w:lineRule="exact"/>
              <w:jc w:val="center"/>
              <w:rPr>
                <w:rFonts w:hint="eastAsia" w:ascii="方正仿宋_GBK" w:eastAsia="方正仿宋_GBK"/>
                <w:sz w:val="24"/>
                <w:szCs w:val="24"/>
              </w:rPr>
            </w:pPr>
            <w:r>
              <w:rPr>
                <w:rFonts w:hint="eastAsia" w:ascii="方正仿宋_GBK" w:eastAsia="方正仿宋_GBK"/>
                <w:sz w:val="24"/>
                <w:szCs w:val="24"/>
              </w:rPr>
              <w:t>（2011年印发）</w:t>
            </w:r>
          </w:p>
        </w:tc>
        <w:tc>
          <w:tcPr>
            <w:tcW w:w="143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95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2</w:t>
            </w:r>
          </w:p>
        </w:tc>
        <w:tc>
          <w:tcPr>
            <w:tcW w:w="411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重庆市公安局重庆市城乡建设委员会关于进一步加强建筑高度超过250米高层建筑防火设计的通知</w:t>
            </w:r>
          </w:p>
        </w:tc>
        <w:tc>
          <w:tcPr>
            <w:tcW w:w="255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渝公发〔2011〕549号</w:t>
            </w:r>
          </w:p>
        </w:tc>
        <w:tc>
          <w:tcPr>
            <w:tcW w:w="143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5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3</w:t>
            </w:r>
          </w:p>
        </w:tc>
        <w:tc>
          <w:tcPr>
            <w:tcW w:w="411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重庆市公安局重庆市卫生局关于印发《重庆市医疗卫生机构消防安全管理暂行办法》的通知</w:t>
            </w:r>
          </w:p>
        </w:tc>
        <w:tc>
          <w:tcPr>
            <w:tcW w:w="255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渝公发〔2011〕745号</w:t>
            </w:r>
          </w:p>
        </w:tc>
        <w:tc>
          <w:tcPr>
            <w:tcW w:w="143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5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4</w:t>
            </w:r>
          </w:p>
        </w:tc>
        <w:tc>
          <w:tcPr>
            <w:tcW w:w="411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重庆市公安局重庆市国土房管局关于将消防安全“四个能力”建设纳入物业服务企业服务质量评价内容的通知</w:t>
            </w:r>
          </w:p>
        </w:tc>
        <w:tc>
          <w:tcPr>
            <w:tcW w:w="255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渝公发〔2012〕112号</w:t>
            </w:r>
          </w:p>
        </w:tc>
        <w:tc>
          <w:tcPr>
            <w:tcW w:w="143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5</w:t>
            </w:r>
          </w:p>
        </w:tc>
        <w:tc>
          <w:tcPr>
            <w:tcW w:w="411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重庆市公安局 重庆市质量技术监督局 重庆市工商行政管理局 关于印发《重庆市消防产品质量专项整治工作方案》的通知</w:t>
            </w:r>
          </w:p>
        </w:tc>
        <w:tc>
          <w:tcPr>
            <w:tcW w:w="255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渝公发〔2013〕116号（方案内明确整治工作至2016年3月结束）</w:t>
            </w:r>
          </w:p>
        </w:tc>
        <w:tc>
          <w:tcPr>
            <w:tcW w:w="143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6</w:t>
            </w:r>
          </w:p>
        </w:tc>
        <w:tc>
          <w:tcPr>
            <w:tcW w:w="411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重庆市公安局重庆市民政局关于进一步加强社会福利机构消防安全工作的通知</w:t>
            </w:r>
          </w:p>
        </w:tc>
        <w:tc>
          <w:tcPr>
            <w:tcW w:w="255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渝公发〔2013〕269号</w:t>
            </w:r>
          </w:p>
        </w:tc>
        <w:tc>
          <w:tcPr>
            <w:tcW w:w="143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7</w:t>
            </w:r>
          </w:p>
        </w:tc>
        <w:tc>
          <w:tcPr>
            <w:tcW w:w="411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重庆市公安局关于印发《重庆市公安派出所消防监督工作规定（2014年修订）》的通知</w:t>
            </w:r>
          </w:p>
        </w:tc>
        <w:tc>
          <w:tcPr>
            <w:tcW w:w="255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渝公发〔2014〕94号</w:t>
            </w:r>
          </w:p>
        </w:tc>
        <w:tc>
          <w:tcPr>
            <w:tcW w:w="143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8</w:t>
            </w:r>
          </w:p>
        </w:tc>
        <w:tc>
          <w:tcPr>
            <w:tcW w:w="411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重庆市公安局关于印发《重庆市公安机关消防行政处罚裁量基准》的通知</w:t>
            </w:r>
          </w:p>
        </w:tc>
        <w:tc>
          <w:tcPr>
            <w:tcW w:w="2551" w:type="dxa"/>
            <w:noWrap w:val="0"/>
            <w:vAlign w:val="center"/>
          </w:tcPr>
          <w:p>
            <w:pPr>
              <w:spacing w:line="360" w:lineRule="exact"/>
              <w:jc w:val="left"/>
              <w:rPr>
                <w:rFonts w:hint="eastAsia" w:ascii="方正仿宋_GBK" w:eastAsia="方正仿宋_GBK"/>
                <w:sz w:val="24"/>
                <w:szCs w:val="24"/>
              </w:rPr>
            </w:pPr>
            <w:r>
              <w:rPr>
                <w:rFonts w:hint="eastAsia" w:ascii="方正仿宋_GBK" w:eastAsia="方正仿宋_GBK"/>
                <w:sz w:val="24"/>
                <w:szCs w:val="24"/>
              </w:rPr>
              <w:t>渝公发〔2015〕176号</w:t>
            </w:r>
          </w:p>
        </w:tc>
        <w:tc>
          <w:tcPr>
            <w:tcW w:w="1439" w:type="dxa"/>
            <w:noWrap w:val="0"/>
            <w:vAlign w:val="center"/>
          </w:tcPr>
          <w:p>
            <w:pPr>
              <w:spacing w:line="360" w:lineRule="exact"/>
              <w:jc w:val="center"/>
              <w:rPr>
                <w:rFonts w:hint="eastAsia" w:ascii="方正仿宋_GBK" w:eastAsia="方正仿宋_GBK"/>
                <w:sz w:val="24"/>
                <w:szCs w:val="24"/>
              </w:rPr>
            </w:pPr>
            <w:r>
              <w:rPr>
                <w:rFonts w:hint="eastAsia" w:ascii="方正仿宋_GBK" w:eastAsia="方正仿宋_GBK"/>
                <w:sz w:val="24"/>
                <w:szCs w:val="24"/>
              </w:rPr>
              <w:t>2020年</w:t>
            </w:r>
          </w:p>
        </w:tc>
      </w:tr>
    </w:tbl>
    <w:p>
      <w:pPr>
        <w:rPr>
          <w:rFonts w:hint="eastAsia"/>
        </w:rPr>
      </w:pPr>
    </w:p>
    <w:sectPr>
      <w:headerReference r:id="rId5" w:type="default"/>
      <w:footerReference r:id="rId6" w:type="default"/>
      <w:pgSz w:w="11906" w:h="16838"/>
      <w:pgMar w:top="1962" w:right="1474" w:bottom="1848"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1" w:usb1="080E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tabs>
        <w:tab w:val="center" w:pos="1480"/>
        <w:tab w:val="clear" w:pos="4153"/>
      </w:tabs>
      <w:wordWrap w:val="0"/>
      <w:ind w:left="2870" w:leftChars="897" w:firstLine="8134" w:firstLineChars="2905"/>
      <w:rPr>
        <w:rFonts w:hint="eastAsia" w:ascii="宋体" w:hAnsi="宋体" w:eastAsia="宋体" w:cs="宋体"/>
        <w:b/>
        <w:bCs/>
        <w:color w:val="005192"/>
        <w:szCs w:val="44"/>
      </w:rPr>
    </w:pPr>
    <w:r>
      <w:rPr>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9525" b="1270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Cs w:val="28"/>
      </w:rPr>
      <w:t xml:space="preserve"> </w:t>
    </w:r>
    <w:r>
      <w:rPr>
        <w:rFonts w:hint="eastAsia" w:ascii="宋体" w:hAnsi="宋体" w:eastAsia="宋体" w:cs="宋体"/>
        <w:b/>
        <w:bCs/>
        <w:color w:val="005192"/>
        <w:szCs w:val="44"/>
      </w:rPr>
      <w:t xml:space="preserve">重庆市公安局发布     </w:t>
    </w:r>
  </w:p>
  <w:p>
    <w:pPr>
      <w:pStyle w:val="8"/>
      <w:ind w:left="5770" w:leftChars="1803" w:firstLine="6499" w:firstLineChars="2312"/>
      <w:jc w:val="left"/>
      <w:rPr>
        <w:rFonts w:hint="eastAsia" w:ascii="宋体" w:hAnsi="宋体" w:eastAsia="宋体" w:cs="宋体"/>
        <w:b/>
        <w:bCs/>
        <w:color w:val="005192"/>
        <w:szCs w:val="28"/>
      </w:rPr>
    </w:pPr>
  </w:p>
  <w:p>
    <w:pPr>
      <w:pStyle w:val="8"/>
      <w:wordWrap w:val="0"/>
      <w:ind w:left="7296" w:leftChars="2280" w:firstLine="5622" w:firstLineChars="2000"/>
      <w:rPr>
        <w:rFonts w:hint="eastAsia" w:ascii="宋体" w:hAnsi="宋体" w:eastAsia="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5715" b="14605"/>
              <wp:wrapNone/>
              <wp:docPr id="1" name="直接连接符 4"/>
              <wp:cNvGraphicFramePr/>
              <a:graphic xmlns:a="http://schemas.openxmlformats.org/drawingml/2006/main">
                <a:graphicData uri="http://schemas.microsoft.com/office/word/2010/wordprocessingShape">
                  <wps:wsp>
                    <wps:cNvSpPr/>
                    <wps:spPr>
                      <a:xfrm>
                        <a:off x="0" y="0"/>
                        <a:ext cx="5620385" cy="0"/>
                      </a:xfrm>
                      <a:prstGeom prst="line">
                        <a:avLst/>
                      </a:prstGeom>
                      <a:ln w="22225" cap="flat" cmpd="sng">
                        <a:solidFill>
                          <a:srgbClr val="0070C0"/>
                        </a:solidFill>
                        <a:prstDash val="solid"/>
                        <a:miter/>
                        <a:headEnd type="none" w="med" len="med"/>
                        <a:tailEnd type="none" w="med" len="med"/>
                      </a:ln>
                    </wps:spPr>
                    <wps:bodyPr upright="1"/>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2FV0gAAAAgBAAAPAAAAAAAAAAEAIAAAACIAAABkcnMvZG93bnJldi54bWxQSwEC&#10;FAAUAAAACACHTuJAhdgXM/oBAADvAwAADgAAAAAAAAABACAAAAAhAQAAZHJzL2Uyb0RvYy54bWxQ&#10;SwUGAAAAAAYABgBZAQAAjQUAAAAA&#10;">
              <v:fill on="f" focussize="0,0"/>
              <v:stroke weight="1.75pt" color="#0070C0" joinstyle="miter"/>
              <v:imagedata o:title=""/>
              <o:lock v:ext="edit" aspectratio="f"/>
            </v:line>
          </w:pict>
        </mc:Fallback>
      </mc:AlternateContent>
    </w:r>
  </w:p>
  <w:p>
    <w:pPr>
      <w:pStyle w:val="8"/>
      <w:adjustRightInd/>
      <w:jc w:val="left"/>
      <w:textAlignment w:val="center"/>
      <w:rPr>
        <w:rFonts w:hint="eastAsia"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8890" b="889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重庆市公安局</w:t>
    </w:r>
    <w:r>
      <w:rPr>
        <w:rFonts w:hint="eastAsia" w:ascii="宋体" w:hAnsi="宋体" w:eastAsia="宋体" w:cs="宋体"/>
        <w:b/>
        <w:bCs/>
        <w:color w:val="005192"/>
        <w:sz w:val="32"/>
      </w:rPr>
      <w:t>行政</w:t>
    </w:r>
    <w:r>
      <w:rPr>
        <w:rFonts w:hint="eastAsia" w:ascii="宋体" w:hAnsi="宋体" w:eastAsia="宋体" w:cs="宋体"/>
        <w:b/>
        <w:bCs/>
        <w:color w:val="005192"/>
        <w:sz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YzNkYTAyNWI2NzAwYmFkOWFiMzhiMjRlNWYyNjEifQ=="/>
  </w:docVars>
  <w:rsids>
    <w:rsidRoot w:val="00172A27"/>
    <w:rsid w:val="00050B98"/>
    <w:rsid w:val="001659DA"/>
    <w:rsid w:val="00202280"/>
    <w:rsid w:val="009048E8"/>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0FFD7CF5"/>
    <w:rsid w:val="152D2DCA"/>
    <w:rsid w:val="15D5325E"/>
    <w:rsid w:val="187168EA"/>
    <w:rsid w:val="196673CA"/>
    <w:rsid w:val="1B2F4AEE"/>
    <w:rsid w:val="1C3B5737"/>
    <w:rsid w:val="1CF734C9"/>
    <w:rsid w:val="1D5561CE"/>
    <w:rsid w:val="1DEC284C"/>
    <w:rsid w:val="1E4142AB"/>
    <w:rsid w:val="1E6523AC"/>
    <w:rsid w:val="22440422"/>
    <w:rsid w:val="22BB4BBB"/>
    <w:rsid w:val="237D5E31"/>
    <w:rsid w:val="23CF2DB3"/>
    <w:rsid w:val="25DE7970"/>
    <w:rsid w:val="2AEB3417"/>
    <w:rsid w:val="2D502E74"/>
    <w:rsid w:val="31A15F24"/>
    <w:rsid w:val="324A1681"/>
    <w:rsid w:val="34DD6522"/>
    <w:rsid w:val="36FB1DF0"/>
    <w:rsid w:val="395347B5"/>
    <w:rsid w:val="39A232A0"/>
    <w:rsid w:val="39E745AA"/>
    <w:rsid w:val="3B5A6BBB"/>
    <w:rsid w:val="3E2E249C"/>
    <w:rsid w:val="3EDA13A6"/>
    <w:rsid w:val="417B75E9"/>
    <w:rsid w:val="42352954"/>
    <w:rsid w:val="42F058B7"/>
    <w:rsid w:val="42F334A6"/>
    <w:rsid w:val="436109F6"/>
    <w:rsid w:val="441A38D4"/>
    <w:rsid w:val="4504239D"/>
    <w:rsid w:val="450B05EB"/>
    <w:rsid w:val="4BC77339"/>
    <w:rsid w:val="4C9236C5"/>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D688E"/>
    <w:rsid w:val="5FF9BDAA"/>
    <w:rsid w:val="5FFE5333"/>
    <w:rsid w:val="603161C9"/>
    <w:rsid w:val="608816D1"/>
    <w:rsid w:val="60EF4E7F"/>
    <w:rsid w:val="648B0A32"/>
    <w:rsid w:val="665233C1"/>
    <w:rsid w:val="69AC0D42"/>
    <w:rsid w:val="6AD9688B"/>
    <w:rsid w:val="6D0E3F22"/>
    <w:rsid w:val="6FF040BE"/>
    <w:rsid w:val="744E4660"/>
    <w:rsid w:val="753355A2"/>
    <w:rsid w:val="759F1C61"/>
    <w:rsid w:val="769F2DE8"/>
    <w:rsid w:val="76FDEB7C"/>
    <w:rsid w:val="79C65162"/>
    <w:rsid w:val="7C153B1B"/>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eastAsia="方正仿宋_GBK"/>
      <w:sz w:val="32"/>
      <w:szCs w:val="32"/>
      <w:lang w:val="en-US" w:eastAsia="zh-CN" w:bidi="ar-SA"/>
    </w:rPr>
  </w:style>
  <w:style w:type="paragraph" w:styleId="3">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link w:val="12"/>
    <w:semiHidden/>
    <w:qFormat/>
    <w:uiPriority w:val="0"/>
    <w:rPr>
      <w:rFonts w:ascii="Calibri" w:hAnsi="Calibri"/>
      <w:szCs w:val="24"/>
    </w:rPr>
  </w:style>
  <w:style w:type="table" w:default="1" w:styleId="10">
    <w:name w:val="Normal Table"/>
    <w:semiHidden/>
    <w:qFormat/>
    <w:uiPriority w:val="0"/>
    <w:tblPr>
      <w:tblStyle w:val="10"/>
      <w:tblCellMar>
        <w:top w:w="0" w:type="dxa"/>
        <w:left w:w="108" w:type="dxa"/>
        <w:bottom w:w="0" w:type="dxa"/>
        <w:right w:w="108" w:type="dxa"/>
      </w:tblCellMar>
    </w:tblPr>
  </w:style>
  <w:style w:type="paragraph" w:customStyle="1" w:styleId="2">
    <w:name w:val="Heading1"/>
    <w:basedOn w:val="1"/>
    <w:next w:val="1"/>
    <w:qFormat/>
    <w:uiPriority w:val="0"/>
    <w:pPr>
      <w:keepNext/>
      <w:keepLines/>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4">
    <w:name w:val="annotation text"/>
    <w:basedOn w:val="1"/>
    <w:qFormat/>
    <w:uiPriority w:val="0"/>
    <w:pPr>
      <w:jc w:val="left"/>
    </w:pPr>
  </w:style>
  <w:style w:type="paragraph" w:styleId="5">
    <w:name w:val="Body Text"/>
    <w:basedOn w:val="1"/>
    <w:next w:val="6"/>
    <w:qFormat/>
    <w:uiPriority w:val="0"/>
    <w:pPr>
      <w:spacing w:afterLines="0" w:afterAutospacing="0"/>
    </w:pPr>
  </w:style>
  <w:style w:type="paragraph" w:styleId="6">
    <w:name w:val="Body Text First Indent"/>
    <w:basedOn w:val="5"/>
    <w:qFormat/>
    <w:uiPriority w:val="0"/>
    <w:pPr>
      <w:spacing w:after="160"/>
      <w:ind w:firstLine="420" w:firstLineChars="100"/>
    </w:pPr>
  </w:style>
  <w:style w:type="paragraph" w:styleId="7">
    <w:name w:val="footer"/>
    <w:basedOn w:val="1"/>
    <w:link w:val="15"/>
    <w:qFormat/>
    <w:uiPriority w:val="99"/>
    <w:pPr>
      <w:tabs>
        <w:tab w:val="center" w:pos="4153"/>
        <w:tab w:val="right" w:pos="8306"/>
      </w:tabs>
      <w:snapToGrid w:val="0"/>
      <w:jc w:val="left"/>
    </w:pPr>
    <w:rPr>
      <w:sz w:val="18"/>
    </w:rPr>
  </w:style>
  <w:style w:type="paragraph" w:styleId="8">
    <w:name w:val="header"/>
    <w:basedOn w:val="1"/>
    <w:next w:val="7"/>
    <w:link w:val="1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默认段落字体 Para Char Char Char Char Char Char Char Char Char Char Char Char"/>
    <w:basedOn w:val="1"/>
    <w:link w:val="11"/>
    <w:qFormat/>
    <w:uiPriority w:val="0"/>
    <w:pPr>
      <w:tabs>
        <w:tab w:val="right" w:pos="-2120"/>
      </w:tabs>
      <w:snapToGrid w:val="0"/>
    </w:pPr>
    <w:rPr>
      <w:rFonts w:ascii="Calibri" w:hAnsi="Calibri"/>
      <w:szCs w:val="24"/>
    </w:rPr>
  </w:style>
  <w:style w:type="character" w:styleId="13">
    <w:name w:val="Strong"/>
    <w:qFormat/>
    <w:uiPriority w:val="0"/>
    <w:rPr>
      <w:b/>
      <w:bCs/>
    </w:rPr>
  </w:style>
  <w:style w:type="character" w:styleId="14">
    <w:name w:val="page number"/>
    <w:uiPriority w:val="0"/>
  </w:style>
  <w:style w:type="character" w:customStyle="1" w:styleId="15">
    <w:name w:val="页脚 字符"/>
    <w:link w:val="7"/>
    <w:uiPriority w:val="99"/>
    <w:rPr>
      <w:rFonts w:eastAsia="方正仿宋_GBK"/>
      <w:sz w:val="18"/>
      <w:szCs w:val="32"/>
    </w:rPr>
  </w:style>
  <w:style w:type="character" w:customStyle="1" w:styleId="16">
    <w:name w:val="页眉 字符"/>
    <w:link w:val="8"/>
    <w:uiPriority w:val="0"/>
    <w:rPr>
      <w:rFonts w:eastAsia="方正仿宋_GBK"/>
      <w:sz w:val="28"/>
      <w:szCs w:val="32"/>
    </w:rPr>
  </w:style>
  <w:style w:type="paragraph" w:customStyle="1" w:styleId="17">
    <w:name w:val="Normal (Web)"/>
    <w:basedOn w:val="1"/>
    <w:qFormat/>
    <w:uiPriority w:val="0"/>
    <w:pPr>
      <w:jc w:val="left"/>
    </w:pPr>
    <w:rPr>
      <w:rFonts w:ascii="Calibri" w:hAnsi="Calibri"/>
      <w:kern w:val="0"/>
      <w:sz w:val="24"/>
      <w:szCs w:val="24"/>
    </w:rPr>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Default"/>
    <w:qFormat/>
    <w:uiPriority w:val="0"/>
    <w:pPr>
      <w:autoSpaceDE w:val="0"/>
      <w:autoSpaceDN w:val="0"/>
      <w:adjustRightInd w:val="0"/>
    </w:pPr>
    <w:rPr>
      <w:rFonts w:ascii="Arial" w:hAnsi="Arial"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701</Words>
  <Characters>786</Characters>
  <Lines>9</Lines>
  <Paragraphs>2</Paragraphs>
  <TotalTime>0</TotalTime>
  <ScaleCrop>false</ScaleCrop>
  <LinksUpToDate>false</LinksUpToDate>
  <CharactersWithSpaces>789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2022-08-10T08:57:00Z</dcterms:created>
  <dc:creator>t</dc:creator>
  <cp:lastModifiedBy>yi</cp:lastModifiedBy>
  <cp:lastPrinted>2022-05-12T00:46:00Z</cp:lastPrinted>
  <dcterms:modified xsi:type="dcterms:W3CDTF">2023-02-09T02:54:45Z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19E86CD0FDF3426BB6B9972212A29962</vt:lpwstr>
  </property>
</Properties>
</file>